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ind w:left="720" w:firstLine="0"/>
        <w:jc w:val="left"/>
        <w:rPr>
          <w:b w:val="1"/>
          <w:sz w:val="28"/>
          <w:szCs w:val="28"/>
        </w:rPr>
      </w:pPr>
      <w:r w:rsidDel="00000000" w:rsidR="00000000" w:rsidRPr="00000000">
        <w:rPr>
          <w:rtl w:val="0"/>
        </w:rPr>
      </w:r>
    </w:p>
    <w:p w:rsidR="00000000" w:rsidDel="00000000" w:rsidP="00000000" w:rsidRDefault="00000000" w:rsidRPr="00000000" w14:paraId="00000003">
      <w:pPr>
        <w:ind w:left="720" w:firstLine="0"/>
        <w:jc w:val="center"/>
        <w:rPr>
          <w:b w:val="1"/>
          <w:sz w:val="28"/>
          <w:szCs w:val="28"/>
        </w:rPr>
      </w:pPr>
      <w:r w:rsidDel="00000000" w:rsidR="00000000" w:rsidRPr="00000000">
        <w:rPr>
          <w:b w:val="1"/>
          <w:sz w:val="28"/>
          <w:szCs w:val="28"/>
          <w:rtl w:val="0"/>
        </w:rPr>
        <w:t xml:space="preserve">Wizards of the Coast y </w:t>
      </w:r>
      <w:r w:rsidDel="00000000" w:rsidR="00000000" w:rsidRPr="00000000">
        <w:rPr>
          <w:b w:val="1"/>
          <w:i w:val="1"/>
          <w:sz w:val="28"/>
          <w:szCs w:val="28"/>
          <w:rtl w:val="0"/>
        </w:rPr>
        <w:t xml:space="preserve">another</w:t>
      </w:r>
      <w:r w:rsidDel="00000000" w:rsidR="00000000" w:rsidRPr="00000000">
        <w:rPr>
          <w:b w:val="1"/>
          <w:sz w:val="28"/>
          <w:szCs w:val="28"/>
          <w:rtl w:val="0"/>
        </w:rPr>
        <w:t xml:space="preserve"> se unen para impulsar el entretenimiento del </w:t>
      </w:r>
      <w:r w:rsidDel="00000000" w:rsidR="00000000" w:rsidRPr="00000000">
        <w:rPr>
          <w:b w:val="1"/>
          <w:i w:val="1"/>
          <w:sz w:val="28"/>
          <w:szCs w:val="28"/>
          <w:rtl w:val="0"/>
        </w:rPr>
        <w:t xml:space="preserve">trading card game</w:t>
      </w:r>
      <w:r w:rsidDel="00000000" w:rsidR="00000000" w:rsidRPr="00000000">
        <w:rPr>
          <w:b w:val="1"/>
          <w:sz w:val="28"/>
          <w:szCs w:val="28"/>
          <w:rtl w:val="0"/>
        </w:rPr>
        <w:t xml:space="preserve"> y </w:t>
      </w:r>
      <w:r w:rsidDel="00000000" w:rsidR="00000000" w:rsidRPr="00000000">
        <w:rPr>
          <w:b w:val="1"/>
          <w:i w:val="1"/>
          <w:sz w:val="28"/>
          <w:szCs w:val="28"/>
          <w:rtl w:val="0"/>
        </w:rPr>
        <w:t xml:space="preserve">role playing game</w:t>
      </w:r>
      <w:r w:rsidDel="00000000" w:rsidR="00000000" w:rsidRPr="00000000">
        <w:rPr>
          <w:b w:val="1"/>
          <w:sz w:val="28"/>
          <w:szCs w:val="28"/>
          <w:rtl w:val="0"/>
        </w:rPr>
        <w:t xml:space="preserve"> en Chile y México</w:t>
      </w:r>
    </w:p>
    <w:p w:rsidR="00000000" w:rsidDel="00000000" w:rsidP="00000000" w:rsidRDefault="00000000" w:rsidRPr="00000000" w14:paraId="00000004">
      <w:pPr>
        <w:ind w:left="0" w:firstLine="0"/>
        <w:jc w:val="left"/>
        <w:rPr>
          <w:b w:val="1"/>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rPr>
          <w:b w:val="1"/>
        </w:rPr>
      </w:pPr>
      <w:r w:rsidDel="00000000" w:rsidR="00000000" w:rsidRPr="00000000">
        <w:rPr>
          <w:sz w:val="20"/>
          <w:szCs w:val="20"/>
          <w:rtl w:val="0"/>
        </w:rPr>
        <w:t xml:space="preserve">Con este esfuerzo, la mundialmente reconocida marca de entretenimiento refuerza su compromiso por llevar a Magic:The Gathering y </w:t>
      </w:r>
      <w:r w:rsidDel="00000000" w:rsidR="00000000" w:rsidRPr="00000000">
        <w:rPr>
          <w:sz w:val="20"/>
          <w:szCs w:val="20"/>
          <w:rtl w:val="0"/>
        </w:rPr>
        <w:t xml:space="preserve">Dungeons &amp;</w:t>
      </w:r>
      <w:r w:rsidDel="00000000" w:rsidR="00000000" w:rsidRPr="00000000">
        <w:rPr>
          <w:sz w:val="20"/>
          <w:szCs w:val="20"/>
          <w:rtl w:val="0"/>
        </w:rPr>
        <w:t xml:space="preserve"> </w:t>
      </w:r>
      <w:r w:rsidDel="00000000" w:rsidR="00000000" w:rsidRPr="00000000">
        <w:rPr>
          <w:sz w:val="20"/>
          <w:szCs w:val="20"/>
          <w:rtl w:val="0"/>
        </w:rPr>
        <w:t xml:space="preserve">Dragons a</w:t>
      </w:r>
      <w:r w:rsidDel="00000000" w:rsidR="00000000" w:rsidRPr="00000000">
        <w:rPr>
          <w:sz w:val="20"/>
          <w:szCs w:val="20"/>
          <w:rtl w:val="0"/>
        </w:rPr>
        <w:t xml:space="preserve"> mayores audiencias. </w:t>
      </w:r>
      <w:r w:rsidDel="00000000" w:rsidR="00000000" w:rsidRPr="00000000">
        <w:rPr>
          <w:rtl w:val="0"/>
        </w:rPr>
      </w:r>
    </w:p>
    <w:p w:rsidR="00000000" w:rsidDel="00000000" w:rsidP="00000000" w:rsidRDefault="00000000" w:rsidRPr="00000000" w14:paraId="00000006">
      <w:pPr>
        <w:jc w:val="center"/>
        <w:rPr>
          <w:b w:val="1"/>
          <w:sz w:val="20"/>
          <w:szCs w:val="20"/>
        </w:rPr>
      </w:pPr>
      <w:r w:rsidDel="00000000" w:rsidR="00000000" w:rsidRPr="00000000">
        <w:rPr>
          <w:rtl w:val="0"/>
        </w:rPr>
      </w:r>
    </w:p>
    <w:p w:rsidR="00000000" w:rsidDel="00000000" w:rsidP="00000000" w:rsidRDefault="00000000" w:rsidRPr="00000000" w14:paraId="00000007">
      <w:pPr>
        <w:ind w:left="0" w:firstLine="0"/>
        <w:jc w:val="both"/>
        <w:rPr>
          <w:sz w:val="20"/>
          <w:szCs w:val="20"/>
        </w:rPr>
      </w:pPr>
      <w:r w:rsidDel="00000000" w:rsidR="00000000" w:rsidRPr="00000000">
        <w:rPr>
          <w:b w:val="1"/>
          <w:i w:val="1"/>
          <w:sz w:val="20"/>
          <w:szCs w:val="20"/>
          <w:rtl w:val="0"/>
        </w:rPr>
        <w:t xml:space="preserve">Santiago, </w:t>
      </w:r>
      <w:r w:rsidDel="00000000" w:rsidR="00000000" w:rsidRPr="00000000">
        <w:rPr>
          <w:b w:val="1"/>
          <w:i w:val="1"/>
          <w:sz w:val="20"/>
          <w:szCs w:val="20"/>
          <w:rtl w:val="0"/>
        </w:rPr>
        <w:t xml:space="preserve">28</w:t>
      </w:r>
      <w:r w:rsidDel="00000000" w:rsidR="00000000" w:rsidRPr="00000000">
        <w:rPr>
          <w:b w:val="1"/>
          <w:i w:val="1"/>
          <w:sz w:val="20"/>
          <w:szCs w:val="20"/>
          <w:rtl w:val="0"/>
        </w:rPr>
        <w:t xml:space="preserve"> de abril de 2022.-</w:t>
      </w:r>
      <w:r w:rsidDel="00000000" w:rsidR="00000000" w:rsidRPr="00000000">
        <w:rPr>
          <w:sz w:val="20"/>
          <w:szCs w:val="20"/>
          <w:rtl w:val="0"/>
        </w:rPr>
        <w:t xml:space="preserve"> Wizards of the Coast, la reconocida familia de estudios que se especializa en crear juegos de rol y cartas intercambiables</w:t>
      </w:r>
      <w:r w:rsidDel="00000000" w:rsidR="00000000" w:rsidRPr="00000000">
        <w:rPr>
          <w:sz w:val="20"/>
          <w:szCs w:val="20"/>
          <w:rtl w:val="0"/>
        </w:rPr>
        <w:t xml:space="preserve"> </w:t>
      </w:r>
      <w:r w:rsidDel="00000000" w:rsidR="00000000" w:rsidRPr="00000000">
        <w:rPr>
          <w:sz w:val="20"/>
          <w:szCs w:val="20"/>
          <w:rtl w:val="0"/>
        </w:rPr>
        <w:t xml:space="preserve">para todo tipo de jugadores, anuncia su </w:t>
      </w:r>
      <w:r w:rsidDel="00000000" w:rsidR="00000000" w:rsidRPr="00000000">
        <w:rPr>
          <w:sz w:val="20"/>
          <w:szCs w:val="20"/>
          <w:highlight w:val="white"/>
          <w:rtl w:val="0"/>
        </w:rPr>
        <w:t xml:space="preserve">alianza </w:t>
      </w:r>
      <w:r w:rsidDel="00000000" w:rsidR="00000000" w:rsidRPr="00000000">
        <w:rPr>
          <w:sz w:val="20"/>
          <w:szCs w:val="20"/>
          <w:rtl w:val="0"/>
        </w:rPr>
        <w:t xml:space="preserve">con </w:t>
      </w:r>
      <w:hyperlink r:id="rId6">
        <w:r w:rsidDel="00000000" w:rsidR="00000000" w:rsidRPr="00000000">
          <w:rPr>
            <w:b w:val="1"/>
            <w:i w:val="1"/>
            <w:color w:val="1155cc"/>
            <w:sz w:val="20"/>
            <w:szCs w:val="20"/>
            <w:u w:val="single"/>
            <w:rtl w:val="0"/>
          </w:rPr>
          <w:t xml:space="preserve">another</w:t>
        </w:r>
      </w:hyperlink>
      <w:r w:rsidDel="00000000" w:rsidR="00000000" w:rsidRPr="00000000">
        <w:rPr>
          <w:sz w:val="20"/>
          <w:szCs w:val="20"/>
          <w:rtl w:val="0"/>
        </w:rPr>
        <w:t xml:space="preserve">, agencia regional de comunicación estratégica, con el firme objetivo de incrementar el impacto e interés de su oferta de entretenimiento en potenciales y actuales jugadores de Chile y México.</w:t>
      </w:r>
    </w:p>
    <w:p w:rsidR="00000000" w:rsidDel="00000000" w:rsidP="00000000" w:rsidRDefault="00000000" w:rsidRPr="00000000" w14:paraId="00000008">
      <w:pPr>
        <w:ind w:left="0" w:firstLine="0"/>
        <w:jc w:val="both"/>
        <w:rPr>
          <w:sz w:val="20"/>
          <w:szCs w:val="20"/>
        </w:rPr>
      </w:pPr>
      <w:r w:rsidDel="00000000" w:rsidR="00000000" w:rsidRPr="00000000">
        <w:rPr>
          <w:rtl w:val="0"/>
        </w:rPr>
      </w:r>
    </w:p>
    <w:p w:rsidR="00000000" w:rsidDel="00000000" w:rsidP="00000000" w:rsidRDefault="00000000" w:rsidRPr="00000000" w14:paraId="00000009">
      <w:pPr>
        <w:ind w:left="0" w:firstLine="0"/>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Estamos emocionados de trabajar con another y sabemos que superaremos las expectativas. Se aproximan acciones y productos interesantes para todos nuestros jugadores, y confiamos plenamente en las capacidades y el talento de la agencia para reforzar nuestro liderazgo en la industria del entretenimiento global</w:t>
      </w:r>
      <w:r w:rsidDel="00000000" w:rsidR="00000000" w:rsidRPr="00000000">
        <w:rPr>
          <w:sz w:val="20"/>
          <w:szCs w:val="20"/>
          <w:rtl w:val="0"/>
        </w:rPr>
        <w:t xml:space="preserve">", comentó Annette Escalante, Community Manager en Wizards of the Coast para la región.</w:t>
      </w:r>
    </w:p>
    <w:p w:rsidR="00000000" w:rsidDel="00000000" w:rsidP="00000000" w:rsidRDefault="00000000" w:rsidRPr="00000000" w14:paraId="0000000A">
      <w:pPr>
        <w:ind w:left="0" w:firstLine="0"/>
        <w:jc w:val="both"/>
        <w:rPr>
          <w:sz w:val="20"/>
          <w:szCs w:val="20"/>
        </w:rPr>
      </w:pPr>
      <w:r w:rsidDel="00000000" w:rsidR="00000000" w:rsidRPr="00000000">
        <w:rPr>
          <w:rtl w:val="0"/>
        </w:rPr>
      </w:r>
    </w:p>
    <w:p w:rsidR="00000000" w:rsidDel="00000000" w:rsidP="00000000" w:rsidRDefault="00000000" w:rsidRPr="00000000" w14:paraId="0000000B">
      <w:pPr>
        <w:ind w:left="0" w:firstLine="0"/>
        <w:jc w:val="both"/>
        <w:rPr>
          <w:sz w:val="20"/>
          <w:szCs w:val="20"/>
        </w:rPr>
      </w:pPr>
      <w:r w:rsidDel="00000000" w:rsidR="00000000" w:rsidRPr="00000000">
        <w:rPr>
          <w:sz w:val="20"/>
          <w:szCs w:val="20"/>
          <w:rtl w:val="0"/>
        </w:rPr>
        <w:t xml:space="preserve">Wizards of the Coast es una división de Hasbro que inició operaciones en 1990. Tiene más de 6.800 tiendas de juegos en 70 países alrededor del mundo, con un aproximado de 35 millones de usuarios activos. Sus principales títulos son Magic: The Gathering, juego que inventó la categoría de </w:t>
      </w:r>
      <w:r w:rsidDel="00000000" w:rsidR="00000000" w:rsidRPr="00000000">
        <w:rPr>
          <w:i w:val="1"/>
          <w:sz w:val="20"/>
          <w:szCs w:val="20"/>
          <w:rtl w:val="0"/>
        </w:rPr>
        <w:t xml:space="preserve">Trading Card Game</w:t>
      </w:r>
      <w:r w:rsidDel="00000000" w:rsidR="00000000" w:rsidRPr="00000000">
        <w:rPr>
          <w:sz w:val="20"/>
          <w:szCs w:val="20"/>
          <w:rtl w:val="0"/>
        </w:rPr>
        <w:t xml:space="preserve"> (TCG), y Dungeons &amp; Dragons, formato pionero de los populares juegos de rol. </w:t>
      </w:r>
    </w:p>
    <w:p w:rsidR="00000000" w:rsidDel="00000000" w:rsidP="00000000" w:rsidRDefault="00000000" w:rsidRPr="00000000" w14:paraId="0000000C">
      <w:pPr>
        <w:ind w:left="0" w:firstLine="0"/>
        <w:jc w:val="both"/>
        <w:rPr>
          <w:sz w:val="20"/>
          <w:szCs w:val="20"/>
        </w:rPr>
      </w:pPr>
      <w:r w:rsidDel="00000000" w:rsidR="00000000" w:rsidRPr="00000000">
        <w:rPr>
          <w:rtl w:val="0"/>
        </w:rPr>
      </w:r>
    </w:p>
    <w:p w:rsidR="00000000" w:rsidDel="00000000" w:rsidP="00000000" w:rsidRDefault="00000000" w:rsidRPr="00000000" w14:paraId="0000000D">
      <w:pPr>
        <w:ind w:left="0" w:firstLine="0"/>
        <w:jc w:val="both"/>
        <w:rPr>
          <w:sz w:val="20"/>
          <w:szCs w:val="20"/>
        </w:rPr>
      </w:pPr>
      <w:r w:rsidDel="00000000" w:rsidR="00000000" w:rsidRPr="00000000">
        <w:rPr>
          <w:sz w:val="20"/>
          <w:szCs w:val="20"/>
          <w:rtl w:val="0"/>
        </w:rPr>
        <w:t xml:space="preserve">La marca eligió a </w:t>
      </w:r>
      <w:hyperlink r:id="rId7">
        <w:r w:rsidDel="00000000" w:rsidR="00000000" w:rsidRPr="00000000">
          <w:rPr>
            <w:b w:val="1"/>
            <w:i w:val="1"/>
            <w:color w:val="1155cc"/>
            <w:sz w:val="20"/>
            <w:szCs w:val="20"/>
            <w:u w:val="single"/>
            <w:rtl w:val="0"/>
          </w:rPr>
          <w:t xml:space="preserve">another</w:t>
        </w:r>
      </w:hyperlink>
      <w:r w:rsidDel="00000000" w:rsidR="00000000" w:rsidRPr="00000000">
        <w:rPr>
          <w:sz w:val="20"/>
          <w:szCs w:val="20"/>
          <w:rtl w:val="0"/>
        </w:rPr>
        <w:t xml:space="preserve"> como su nueva agencia para aumentar su alcance, fortalecer sus actividades de relaciones públicas e impulsar la sinergia con medios de comunicación en el marco de su 30 aniversario. El propósito de la compañía es hacer llegar el mensaje de que los juegos son para todo el público y la familia. Cualquier persona sin importar su edad, género o profesión puede disfrutar de la magia de encarnar a un héroe o heroína en mundos fantásticos en donde la diversión nunca acaba. </w:t>
      </w:r>
    </w:p>
    <w:p w:rsidR="00000000" w:rsidDel="00000000" w:rsidP="00000000" w:rsidRDefault="00000000" w:rsidRPr="00000000" w14:paraId="0000000E">
      <w:pPr>
        <w:ind w:left="0" w:firstLine="0"/>
        <w:jc w:val="both"/>
        <w:rPr>
          <w:sz w:val="20"/>
          <w:szCs w:val="20"/>
        </w:rPr>
      </w:pPr>
      <w:r w:rsidDel="00000000" w:rsidR="00000000" w:rsidRPr="00000000">
        <w:rPr>
          <w:rtl w:val="0"/>
        </w:rPr>
      </w:r>
    </w:p>
    <w:p w:rsidR="00000000" w:rsidDel="00000000" w:rsidP="00000000" w:rsidRDefault="00000000" w:rsidRPr="00000000" w14:paraId="0000000F">
      <w:pPr>
        <w:ind w:left="0" w:firstLine="0"/>
        <w:jc w:val="both"/>
        <w:rPr>
          <w:i w:val="1"/>
          <w:sz w:val="20"/>
          <w:szCs w:val="20"/>
          <w:highlight w:val="yellow"/>
        </w:rPr>
      </w:pPr>
      <w:r w:rsidDel="00000000" w:rsidR="00000000" w:rsidRPr="00000000">
        <w:rPr>
          <w:i w:val="1"/>
          <w:sz w:val="20"/>
          <w:szCs w:val="20"/>
          <w:rtl w:val="0"/>
        </w:rPr>
        <w:t xml:space="preserve">“Nos entusiasma mucho colaborar con un referente en el entretenimiento mundial. Estamos convencidos de que contamos con el conocimiento, el equipo y la experiencia para que Wizards of the Coast alcance y sobrepase sus objetivos. Ello a través de la creatividad e ideas estratégicas de comunicación que serán revolucionarias. Este desafío cimentará una nueva etapa de enormes resultados para la marca”, dijo Jaspar Eyears, CEO de another. </w:t>
      </w:r>
      <w:r w:rsidDel="00000000" w:rsidR="00000000" w:rsidRPr="00000000">
        <w:rPr>
          <w:rtl w:val="0"/>
        </w:rPr>
      </w:r>
    </w:p>
    <w:p w:rsidR="00000000" w:rsidDel="00000000" w:rsidP="00000000" w:rsidRDefault="00000000" w:rsidRPr="00000000" w14:paraId="00000010">
      <w:pPr>
        <w:ind w:left="0" w:firstLine="0"/>
        <w:jc w:val="both"/>
        <w:rPr>
          <w:sz w:val="20"/>
          <w:szCs w:val="20"/>
        </w:rPr>
      </w:pPr>
      <w:r w:rsidDel="00000000" w:rsidR="00000000" w:rsidRPr="00000000">
        <w:rPr>
          <w:rtl w:val="0"/>
        </w:rPr>
      </w:r>
    </w:p>
    <w:p w:rsidR="00000000" w:rsidDel="00000000" w:rsidP="00000000" w:rsidRDefault="00000000" w:rsidRPr="00000000" w14:paraId="00000011">
      <w:pPr>
        <w:ind w:left="0" w:firstLine="0"/>
        <w:jc w:val="both"/>
        <w:rPr>
          <w:sz w:val="20"/>
          <w:szCs w:val="20"/>
        </w:rPr>
      </w:pPr>
      <w:r w:rsidDel="00000000" w:rsidR="00000000" w:rsidRPr="00000000">
        <w:rPr>
          <w:sz w:val="20"/>
          <w:szCs w:val="20"/>
          <w:rtl w:val="0"/>
        </w:rPr>
        <w:t xml:space="preserve">Con esta </w:t>
      </w:r>
      <w:r w:rsidDel="00000000" w:rsidR="00000000" w:rsidRPr="00000000">
        <w:rPr>
          <w:sz w:val="20"/>
          <w:szCs w:val="20"/>
          <w:rtl w:val="0"/>
        </w:rPr>
        <w:t xml:space="preserve">colaboración</w:t>
      </w:r>
      <w:r w:rsidDel="00000000" w:rsidR="00000000" w:rsidRPr="00000000">
        <w:rPr>
          <w:sz w:val="20"/>
          <w:szCs w:val="20"/>
          <w:rtl w:val="0"/>
        </w:rPr>
        <w:t xml:space="preserve">, </w:t>
      </w:r>
      <w:hyperlink r:id="rId8">
        <w:r w:rsidDel="00000000" w:rsidR="00000000" w:rsidRPr="00000000">
          <w:rPr>
            <w:b w:val="1"/>
            <w:i w:val="1"/>
            <w:color w:val="1155cc"/>
            <w:sz w:val="20"/>
            <w:szCs w:val="20"/>
            <w:u w:val="single"/>
            <w:rtl w:val="0"/>
          </w:rPr>
          <w:t xml:space="preserve">another</w:t>
        </w:r>
      </w:hyperlink>
      <w:r w:rsidDel="00000000" w:rsidR="00000000" w:rsidRPr="00000000">
        <w:rPr>
          <w:b w:val="1"/>
          <w:i w:val="1"/>
          <w:sz w:val="20"/>
          <w:szCs w:val="20"/>
          <w:rtl w:val="0"/>
        </w:rPr>
        <w:t xml:space="preserve"> </w:t>
      </w:r>
      <w:r w:rsidDel="00000000" w:rsidR="00000000" w:rsidRPr="00000000">
        <w:rPr>
          <w:sz w:val="20"/>
          <w:szCs w:val="20"/>
          <w:rtl w:val="0"/>
        </w:rPr>
        <w:t xml:space="preserve">refuerza su liderazgo en desarrollar estrategias de comunicación </w:t>
      </w:r>
      <w:r w:rsidDel="00000000" w:rsidR="00000000" w:rsidRPr="00000000">
        <w:rPr>
          <w:sz w:val="20"/>
          <w:szCs w:val="20"/>
          <w:rtl w:val="0"/>
        </w:rPr>
        <w:t xml:space="preserve">para el sector</w:t>
      </w:r>
      <w:r w:rsidDel="00000000" w:rsidR="00000000" w:rsidRPr="00000000">
        <w:rPr>
          <w:sz w:val="20"/>
          <w:szCs w:val="20"/>
          <w:rtl w:val="0"/>
        </w:rPr>
        <w:t xml:space="preserve"> de entretenimiento al trabajar con marcas icónicas de esta industria</w:t>
      </w:r>
      <w:r w:rsidDel="00000000" w:rsidR="00000000" w:rsidRPr="00000000">
        <w:rPr>
          <w:sz w:val="20"/>
          <w:szCs w:val="20"/>
          <w:rtl w:val="0"/>
        </w:rPr>
        <w:t xml:space="preserve">, las cuales han marcado un antes y un después de su aparición en el mercado.</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12">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3">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4">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5">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6">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7">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8">
      <w:pPr>
        <w:spacing w:line="280" w:lineRule="auto"/>
        <w:jc w:val="both"/>
        <w:rPr>
          <w:b w:val="1"/>
          <w:sz w:val="20"/>
          <w:szCs w:val="20"/>
          <w:u w:val="single"/>
        </w:rPr>
      </w:pPr>
      <w:r w:rsidDel="00000000" w:rsidR="00000000" w:rsidRPr="00000000">
        <w:rPr>
          <w:rtl w:val="0"/>
        </w:rPr>
      </w:r>
    </w:p>
    <w:p w:rsidR="00000000" w:rsidDel="00000000" w:rsidP="00000000" w:rsidRDefault="00000000" w:rsidRPr="00000000" w14:paraId="00000019">
      <w:pPr>
        <w:spacing w:line="342.85714285714283" w:lineRule="auto"/>
        <w:jc w:val="both"/>
        <w:rPr>
          <w:sz w:val="20"/>
          <w:szCs w:val="20"/>
        </w:rPr>
      </w:pPr>
      <w:r w:rsidDel="00000000" w:rsidR="00000000" w:rsidRPr="00000000">
        <w:rPr>
          <w:rtl w:val="0"/>
        </w:rPr>
      </w:r>
    </w:p>
    <w:p w:rsidR="00000000" w:rsidDel="00000000" w:rsidP="00000000" w:rsidRDefault="00000000" w:rsidRPr="00000000" w14:paraId="0000001A">
      <w:pPr>
        <w:spacing w:line="342.85714285714283" w:lineRule="auto"/>
        <w:jc w:val="both"/>
        <w:rPr>
          <w:b w:val="1"/>
          <w:color w:val="2b2b2b"/>
          <w:sz w:val="20"/>
          <w:szCs w:val="20"/>
          <w:u w:val="single"/>
        </w:rPr>
      </w:pPr>
      <w:r w:rsidDel="00000000" w:rsidR="00000000" w:rsidRPr="00000000">
        <w:rPr>
          <w:b w:val="1"/>
          <w:color w:val="2b2b2b"/>
          <w:sz w:val="20"/>
          <w:szCs w:val="20"/>
          <w:u w:val="single"/>
          <w:rtl w:val="0"/>
        </w:rPr>
        <w:t xml:space="preserve">Acerca de Wizards of the Coast</w:t>
      </w:r>
    </w:p>
    <w:p w:rsidR="00000000" w:rsidDel="00000000" w:rsidP="00000000" w:rsidRDefault="00000000" w:rsidRPr="00000000" w14:paraId="0000001B">
      <w:pPr>
        <w:spacing w:line="342.85714285714283" w:lineRule="auto"/>
        <w:jc w:val="both"/>
        <w:rPr>
          <w:color w:val="2b2b2b"/>
          <w:sz w:val="20"/>
          <w:szCs w:val="20"/>
        </w:rPr>
      </w:pPr>
      <w:r w:rsidDel="00000000" w:rsidR="00000000" w:rsidRPr="00000000">
        <w:rPr>
          <w:rtl w:val="0"/>
        </w:rPr>
      </w:r>
    </w:p>
    <w:p w:rsidR="00000000" w:rsidDel="00000000" w:rsidP="00000000" w:rsidRDefault="00000000" w:rsidRPr="00000000" w14:paraId="0000001C">
      <w:pPr>
        <w:spacing w:line="240" w:lineRule="auto"/>
        <w:jc w:val="both"/>
        <w:rPr>
          <w:color w:val="2b2b2b"/>
          <w:sz w:val="20"/>
          <w:szCs w:val="20"/>
          <w:highlight w:val="white"/>
        </w:rPr>
      </w:pPr>
      <w:r w:rsidDel="00000000" w:rsidR="00000000" w:rsidRPr="00000000">
        <w:rPr>
          <w:color w:val="2b2b2b"/>
          <w:sz w:val="20"/>
          <w:szCs w:val="20"/>
          <w:rtl w:val="0"/>
        </w:rPr>
        <w:t xml:space="preserve">Wizards of the Coast, compañía subsidiaria de Hasbro, Inc., es desarrolladora y editora galardonada de juegos de mesa y digitales que despierta un sentido de aventura en jugadores apasionados de todo el mundo. Más conocida por publicar las franquicias de fantasía innovadoras, MAGIC: THE GATHERING® y DUNGEONS &amp; DRAGONS®, Wizards se dedica a reunir talentos de primera clase para crear experiencias de juego inolvidables en su sede en Washington y sus estudios en Austin y Montreal. Más información en  </w:t>
      </w:r>
      <w:hyperlink r:id="rId9">
        <w:r w:rsidDel="00000000" w:rsidR="00000000" w:rsidRPr="00000000">
          <w:rPr>
            <w:color w:val="6e64da"/>
            <w:sz w:val="20"/>
            <w:szCs w:val="20"/>
            <w:rtl w:val="0"/>
          </w:rPr>
          <w:t xml:space="preserve">www.wizards.com</w:t>
        </w:r>
      </w:hyperlink>
      <w:r w:rsidDel="00000000" w:rsidR="00000000" w:rsidRPr="00000000">
        <w:rPr>
          <w:color w:val="2b2b2b"/>
          <w:sz w:val="20"/>
          <w:szCs w:val="20"/>
          <w:highlight w:val="white"/>
          <w:rtl w:val="0"/>
        </w:rPr>
        <w:t xml:space="preserve">.</w:t>
      </w:r>
    </w:p>
    <w:p w:rsidR="00000000" w:rsidDel="00000000" w:rsidP="00000000" w:rsidRDefault="00000000" w:rsidRPr="00000000" w14:paraId="0000001D">
      <w:pPr>
        <w:spacing w:line="342.85714285714283" w:lineRule="auto"/>
        <w:jc w:val="both"/>
        <w:rPr>
          <w:color w:val="2b2b2b"/>
          <w:sz w:val="18"/>
          <w:szCs w:val="18"/>
          <w:highlight w:val="white"/>
        </w:rPr>
      </w:pPr>
      <w:r w:rsidDel="00000000" w:rsidR="00000000" w:rsidRPr="00000000">
        <w:rPr>
          <w:rtl w:val="0"/>
        </w:rPr>
      </w:r>
    </w:p>
    <w:p w:rsidR="00000000" w:rsidDel="00000000" w:rsidP="00000000" w:rsidRDefault="00000000" w:rsidRPr="00000000" w14:paraId="0000001E">
      <w:pPr>
        <w:spacing w:line="342.85714285714283" w:lineRule="auto"/>
        <w:jc w:val="both"/>
        <w:rPr>
          <w:b w:val="1"/>
          <w:sz w:val="20"/>
          <w:szCs w:val="20"/>
          <w:u w:val="single"/>
        </w:rPr>
      </w:pPr>
      <w:r w:rsidDel="00000000" w:rsidR="00000000" w:rsidRPr="00000000">
        <w:rPr>
          <w:b w:val="1"/>
          <w:sz w:val="20"/>
          <w:szCs w:val="20"/>
          <w:u w:val="single"/>
          <w:rtl w:val="0"/>
        </w:rPr>
        <w:t xml:space="preserve">Acerca de HASBRO</w:t>
      </w:r>
    </w:p>
    <w:p w:rsidR="00000000" w:rsidDel="00000000" w:rsidP="00000000" w:rsidRDefault="00000000" w:rsidRPr="00000000" w14:paraId="0000001F">
      <w:pPr>
        <w:spacing w:line="240" w:lineRule="auto"/>
        <w:jc w:val="both"/>
        <w:rPr>
          <w:sz w:val="20"/>
          <w:szCs w:val="20"/>
        </w:rPr>
      </w:pPr>
      <w:r w:rsidDel="00000000" w:rsidR="00000000" w:rsidRPr="00000000">
        <w:rPr>
          <w:sz w:val="20"/>
          <w:szCs w:val="20"/>
          <w:rtl w:val="0"/>
        </w:rPr>
        <w:t xml:space="preserve">Hasbro (NASDAQ: HAS) es una compañía global de juego y entretenimiento dedicada a crear las Mejores experiencias de Juego y entretenimiento del mundo. Desde juguetes y juegos hasta televisión, películas, juegos </w:t>
      </w:r>
    </w:p>
    <w:p w:rsidR="00000000" w:rsidDel="00000000" w:rsidP="00000000" w:rsidRDefault="00000000" w:rsidRPr="00000000" w14:paraId="00000020">
      <w:pPr>
        <w:spacing w:line="240" w:lineRule="auto"/>
        <w:jc w:val="both"/>
        <w:rPr>
          <w:b w:val="1"/>
          <w:sz w:val="20"/>
          <w:szCs w:val="20"/>
          <w:u w:val="single"/>
        </w:rPr>
      </w:pPr>
      <w:r w:rsidDel="00000000" w:rsidR="00000000" w:rsidRPr="00000000">
        <w:rPr>
          <w:sz w:val="20"/>
          <w:szCs w:val="20"/>
          <w:rtl w:val="0"/>
        </w:rPr>
        <w:t xml:space="preserve">digitales y productos de consumo, Hasbro ofrece una variedad de formas para que el público disfrute de sus marcas emblemáticas, incluyendo NERF, MY LITTLE PONY, TRANSFORMERS, PLAY-DOH, MONOPOLY, BABY ALIVE, MAGIC: THE GATHERING y POWER RANGERS, así como sus principales marcas asociadas. A través de su sello de entretenimiento eOne, la Compañía está consolidando sus marcas a nivel mundial mediante grandes historias y contenidos para todas las pantallas. Hasbro está comprometida a hacer del mundo un lugar mejor para los niños y sus familias a través de la responsabilidad social corporativa y la filantropía. Hasbro ocupó la posición nº 13 en la lista de los "100 Mejores Ciudadanos Corporativos" de 2019 de la revista CR Magazine, y ha sido nombrada una de las Compañías Más Éticas del Mundo por el Ethisphere Institute durante los últimos ocho años. Más información en </w:t>
      </w:r>
      <w:hyperlink r:id="rId10">
        <w:r w:rsidDel="00000000" w:rsidR="00000000" w:rsidRPr="00000000">
          <w:rPr>
            <w:color w:val="6e64da"/>
            <w:sz w:val="20"/>
            <w:szCs w:val="20"/>
            <w:rtl w:val="0"/>
          </w:rPr>
          <w:t xml:space="preserve">www.hasbro.com</w:t>
        </w:r>
      </w:hyperlink>
      <w:r w:rsidDel="00000000" w:rsidR="00000000" w:rsidRPr="00000000">
        <w:rPr>
          <w:rtl w:val="0"/>
        </w:rPr>
      </w:r>
    </w:p>
    <w:p w:rsidR="00000000" w:rsidDel="00000000" w:rsidP="00000000" w:rsidRDefault="00000000" w:rsidRPr="00000000" w14:paraId="00000021">
      <w:pPr>
        <w:spacing w:line="240" w:lineRule="auto"/>
        <w:jc w:val="both"/>
        <w:rPr>
          <w:sz w:val="20"/>
          <w:szCs w:val="20"/>
        </w:rPr>
      </w:pPr>
      <w:r w:rsidDel="00000000" w:rsidR="00000000" w:rsidRPr="00000000">
        <w:rPr>
          <w:rtl w:val="0"/>
        </w:rPr>
      </w:r>
    </w:p>
    <w:p w:rsidR="00000000" w:rsidDel="00000000" w:rsidP="00000000" w:rsidRDefault="00000000" w:rsidRPr="00000000" w14:paraId="00000022">
      <w:pPr>
        <w:spacing w:line="240" w:lineRule="auto"/>
        <w:jc w:val="both"/>
        <w:rPr>
          <w:b w:val="1"/>
          <w:sz w:val="20"/>
          <w:szCs w:val="20"/>
          <w:u w:val="single"/>
        </w:rPr>
      </w:pPr>
      <w:r w:rsidDel="00000000" w:rsidR="00000000" w:rsidRPr="00000000">
        <w:rPr>
          <w:b w:val="1"/>
          <w:sz w:val="20"/>
          <w:szCs w:val="20"/>
          <w:u w:val="single"/>
          <w:rtl w:val="0"/>
        </w:rPr>
        <w:t xml:space="preserve">Acerca de another </w:t>
      </w:r>
    </w:p>
    <w:p w:rsidR="00000000" w:rsidDel="00000000" w:rsidP="00000000" w:rsidRDefault="00000000" w:rsidRPr="00000000" w14:paraId="00000023">
      <w:pPr>
        <w:widowControl w:val="0"/>
        <w:spacing w:line="240" w:lineRule="auto"/>
        <w:jc w:val="both"/>
        <w:rPr>
          <w:sz w:val="20"/>
          <w:szCs w:val="20"/>
        </w:rPr>
      </w:pPr>
      <w:r w:rsidDel="00000000" w:rsidR="00000000" w:rsidRPr="00000000">
        <w:rPr>
          <w:sz w:val="20"/>
          <w:szCs w:val="20"/>
          <w:rtl w:val="0"/>
        </w:rPr>
        <w:t xml:space="preserve">Fundada en 2004 por Jaspar Eyears y Rodrigo Peñafiel, </w:t>
      </w:r>
      <w:r w:rsidDel="00000000" w:rsidR="00000000" w:rsidRPr="00000000">
        <w:rPr>
          <w:b w:val="1"/>
          <w:sz w:val="20"/>
          <w:szCs w:val="20"/>
          <w:rtl w:val="0"/>
        </w:rPr>
        <w:t xml:space="preserve">another</w:t>
      </w:r>
      <w:r w:rsidDel="00000000" w:rsidR="00000000" w:rsidRPr="00000000">
        <w:rPr>
          <w:sz w:val="20"/>
          <w:szCs w:val="20"/>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20"/>
          <w:szCs w:val="20"/>
          <w:rtl w:val="0"/>
        </w:rPr>
        <w:t xml:space="preserve">another</w:t>
      </w:r>
      <w:r w:rsidDel="00000000" w:rsidR="00000000" w:rsidRPr="00000000">
        <w:rPr>
          <w:sz w:val="20"/>
          <w:szCs w:val="20"/>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20"/>
          <w:szCs w:val="20"/>
          <w:rtl w:val="0"/>
        </w:rPr>
        <w:t xml:space="preserve">another</w:t>
      </w:r>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24">
      <w:pPr>
        <w:widowControl w:val="0"/>
        <w:jc w:val="both"/>
        <w:rPr>
          <w:sz w:val="20"/>
          <w:szCs w:val="20"/>
        </w:rPr>
      </w:pPr>
      <w:r w:rsidDel="00000000" w:rsidR="00000000" w:rsidRPr="00000000">
        <w:rPr>
          <w:rtl w:val="0"/>
        </w:rPr>
      </w:r>
    </w:p>
    <w:p w:rsidR="00000000" w:rsidDel="00000000" w:rsidP="00000000" w:rsidRDefault="00000000" w:rsidRPr="00000000" w14:paraId="00000025">
      <w:pPr>
        <w:widowControl w:val="0"/>
        <w:jc w:val="both"/>
        <w:rPr>
          <w:b w:val="1"/>
          <w:sz w:val="20"/>
          <w:szCs w:val="20"/>
        </w:rPr>
      </w:pPr>
      <w:r w:rsidDel="00000000" w:rsidR="00000000" w:rsidRPr="00000000">
        <w:rPr>
          <w:sz w:val="20"/>
          <w:szCs w:val="20"/>
          <w:rtl w:val="0"/>
        </w:rPr>
        <w:t xml:space="preserve">Para más información visita </w:t>
      </w:r>
      <w:hyperlink r:id="rId11">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2">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5">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8">
      <w:pPr>
        <w:spacing w:line="240" w:lineRule="auto"/>
        <w:ind w:right="140"/>
        <w:jc w:val="both"/>
        <w:rPr>
          <w:sz w:val="20"/>
          <w:szCs w:val="20"/>
          <w:highlight w:val="white"/>
        </w:rPr>
      </w:pPr>
      <w:r w:rsidDel="00000000" w:rsidR="00000000" w:rsidRPr="00000000">
        <w:rPr>
          <w:sz w:val="20"/>
          <w:szCs w:val="20"/>
          <w:highlight w:val="white"/>
          <w:rtl w:val="0"/>
        </w:rPr>
        <w:t xml:space="preserve">Tamara Marambio G. | Senior PR Executive</w:t>
      </w:r>
    </w:p>
    <w:p w:rsidR="00000000" w:rsidDel="00000000" w:rsidP="00000000" w:rsidRDefault="00000000" w:rsidRPr="00000000" w14:paraId="00000029">
      <w:pPr>
        <w:spacing w:line="240" w:lineRule="auto"/>
        <w:ind w:right="140"/>
        <w:jc w:val="both"/>
        <w:rPr>
          <w:sz w:val="20"/>
          <w:szCs w:val="20"/>
          <w:highlight w:val="white"/>
        </w:rPr>
      </w:pPr>
      <w:hyperlink r:id="rId16">
        <w:r w:rsidDel="00000000" w:rsidR="00000000" w:rsidRPr="00000000">
          <w:rPr>
            <w:color w:val="1155cc"/>
            <w:sz w:val="20"/>
            <w:szCs w:val="20"/>
            <w:highlight w:val="white"/>
            <w:u w:val="single"/>
            <w:rtl w:val="0"/>
          </w:rPr>
          <w:t xml:space="preserve">tamara.marambio@another.co</w:t>
        </w:r>
      </w:hyperlink>
      <w:r w:rsidDel="00000000" w:rsidR="00000000" w:rsidRPr="00000000">
        <w:rPr>
          <w:sz w:val="20"/>
          <w:szCs w:val="20"/>
          <w:highlight w:val="white"/>
          <w:rtl w:val="0"/>
        </w:rPr>
        <w:t xml:space="preserve"> </w:t>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line="240" w:lineRule="auto"/>
      <w:jc w:val="both"/>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3657600</wp:posOffset>
          </wp:positionH>
          <wp:positionV relativeFrom="paragraph">
            <wp:posOffset>-342899</wp:posOffset>
          </wp:positionV>
          <wp:extent cx="3014663" cy="96682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14663" cy="96682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-342899</wp:posOffset>
          </wp:positionV>
          <wp:extent cx="1523082" cy="800100"/>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23082"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 TargetMode="External"/><Relationship Id="rId10" Type="http://schemas.openxmlformats.org/officeDocument/2006/relationships/hyperlink" Target="https://nam11.safelinks.protection.outlook.com/?url=http%3A%2F%2Fwww.hasbro.com%2F&amp;data=04%7C01%7Cannette.escalante%40hasbro.com%7C2d65d774d80a40afda0e08d9a9ebb5af%7C701edd3ec7a84789b1ce8a243620d68f%7C0%7C0%7C637727652097853728%7CUnknown%7CTWFpbGZsb3d8eyJWIjoiMC4wLjAwMDAiLCJQIjoiV2luMzIiLCJBTiI6Ik1haWwiLCJXVCI6Mn0%3D%7C3000&amp;sdata=y22V5M28w%2F3rmqAng5KezOB2UOYCjM7h%2F18pchKvnOI%3D&amp;reserved=0"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11.safelinks.protection.outlook.com/?url=http%3A%2F%2Fwww.wizards.com%2F&amp;data=05%7C01%7Cannette.escalante%40hasbro.com%7C5c30f1c85dfc432b9db608da23b86174%7C701edd3ec7a84789b1ce8a243620d68f%7C0%7C0%7C637861572089428257%7CUnknown%7CTWFpbGZsb3d8eyJWIjoiMC4wLjAwMDAiLCJQIjoiV2luMzIiLCJBTiI6Ik1haWwiLCJXVCI6Mn0%3D%7C3000%7C%7C%7C&amp;sdata=g4kzIVdU2GwC1KW%2BGDTUMuTYpsGI%2FSUfAt91BWRiLy8%3D&amp;reserved=0"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7" Type="http://schemas.openxmlformats.org/officeDocument/2006/relationships/header" Target="header1.xml"/><Relationship Id="rId16" Type="http://schemas.openxmlformats.org/officeDocument/2006/relationships/hyperlink" Target="mailto:tamara.marambio@another.co" TargetMode="External"/><Relationship Id="rId5" Type="http://schemas.openxmlformats.org/officeDocument/2006/relationships/styles" Target="styles.xml"/><Relationship Id="rId6" Type="http://schemas.openxmlformats.org/officeDocument/2006/relationships/hyperlink" Target="http://wizards_chile" TargetMode="External"/><Relationship Id="rId7" Type="http://schemas.openxmlformats.org/officeDocument/2006/relationships/hyperlink" Target="http://wizards_chile" TargetMode="External"/><Relationship Id="rId8" Type="http://schemas.openxmlformats.org/officeDocument/2006/relationships/hyperlink" Target="http://wizards_ch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